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239024">
      <w:pPr>
        <w:spacing w:line="240" w:lineRule="auto"/>
        <w:ind w:firstLine="540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1483360" cy="1381125"/>
            <wp:effectExtent l="0" t="0" r="2540" b="9525"/>
            <wp:docPr id="1" name="图片 1" descr="9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999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483360" cy="1381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6864CA">
      <w:pPr>
        <w:spacing w:before="190" w:line="61" w:lineRule="exact"/>
      </w:pPr>
      <w:r>
        <w:rPr>
          <w:position w:val="-1"/>
        </w:rPr>
        <w:drawing>
          <wp:inline distT="0" distB="0" distL="0" distR="0">
            <wp:extent cx="6381750" cy="38100"/>
            <wp:effectExtent l="0" t="0" r="0" b="0"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81750" cy="38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FC0367">
      <w:pPr>
        <w:pStyle w:val="2"/>
        <w:spacing w:before="282" w:line="194" w:lineRule="auto"/>
        <w:ind w:left="551"/>
        <w:rPr>
          <w:sz w:val="27"/>
          <w:szCs w:val="27"/>
        </w:rPr>
      </w:pPr>
      <w:r>
        <w:rPr>
          <w:b/>
          <w:bCs/>
          <w:sz w:val="27"/>
          <w:szCs w:val="27"/>
        </w:rPr>
        <w:t>CTNNB</w:t>
      </w:r>
      <w:r>
        <w:rPr>
          <w:b/>
          <w:bCs/>
          <w:spacing w:val="7"/>
          <w:sz w:val="27"/>
          <w:szCs w:val="27"/>
        </w:rPr>
        <w:t>1 (G34V)</w:t>
      </w:r>
    </w:p>
    <w:p w14:paraId="7D6518BE">
      <w:pPr>
        <w:pStyle w:val="2"/>
        <w:spacing w:before="237" w:line="189" w:lineRule="auto"/>
        <w:ind w:left="548"/>
      </w:pPr>
      <w:r>
        <w:rPr>
          <w:b/>
          <w:bCs/>
          <w:spacing w:val="-1"/>
        </w:rPr>
        <w:t xml:space="preserve">Catalog Number: </w:t>
      </w:r>
      <w:r>
        <w:rPr>
          <w:rFonts w:hint="eastAsia" w:eastAsia="宋体"/>
          <w:b/>
          <w:bCs/>
          <w:spacing w:val="-1"/>
          <w:lang w:val="en-US" w:eastAsia="zh-CN"/>
        </w:rPr>
        <w:t>CR-M</w:t>
      </w:r>
      <w:r>
        <w:rPr>
          <w:spacing w:val="-1"/>
        </w:rPr>
        <w:t>26299</w:t>
      </w:r>
    </w:p>
    <w:p w14:paraId="61B91CD5">
      <w:pPr>
        <w:pStyle w:val="2"/>
        <w:spacing w:before="118" w:line="193" w:lineRule="auto"/>
        <w:ind w:left="548"/>
      </w:pPr>
      <w:r>
        <w:rPr>
          <w:b/>
          <w:bCs/>
          <w:spacing w:val="-1"/>
        </w:rPr>
        <w:t>Gene</w:t>
      </w:r>
      <w:r>
        <w:rPr>
          <w:b/>
          <w:bCs/>
          <w:spacing w:val="27"/>
          <w:w w:val="101"/>
        </w:rPr>
        <w:t xml:space="preserve"> </w:t>
      </w:r>
      <w:r>
        <w:rPr>
          <w:b/>
          <w:bCs/>
          <w:spacing w:val="-1"/>
        </w:rPr>
        <w:t xml:space="preserve">Symbol: </w:t>
      </w:r>
      <w:r>
        <w:rPr>
          <w:spacing w:val="-1"/>
        </w:rPr>
        <w:t>Beta-catenin, CTNNB,</w:t>
      </w:r>
      <w:r>
        <w:rPr>
          <w:spacing w:val="13"/>
        </w:rPr>
        <w:t xml:space="preserve"> </w:t>
      </w:r>
      <w:r>
        <w:rPr>
          <w:spacing w:val="-1"/>
        </w:rPr>
        <w:t>Catenin beta-1</w:t>
      </w:r>
    </w:p>
    <w:p w14:paraId="4076C850">
      <w:pPr>
        <w:pStyle w:val="2"/>
        <w:spacing w:before="117" w:line="193" w:lineRule="auto"/>
        <w:ind w:left="542"/>
      </w:pPr>
      <w: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313690</wp:posOffset>
            </wp:positionV>
            <wp:extent cx="6057900" cy="10160"/>
            <wp:effectExtent l="0" t="0" r="0" b="0"/>
            <wp:wrapNone/>
            <wp:docPr id="6" name="IM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 6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57900" cy="10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bCs/>
        </w:rPr>
        <w:t xml:space="preserve">Description: </w:t>
      </w:r>
      <w:r>
        <w:t>Anti-CTNNB1 (G34V) Mouse M</w:t>
      </w:r>
      <w:r>
        <w:rPr>
          <w:spacing w:val="-1"/>
        </w:rPr>
        <w:t>onoclonal Antibody</w:t>
      </w:r>
    </w:p>
    <w:p w14:paraId="534079F3">
      <w:pPr>
        <w:spacing w:before="150"/>
      </w:pPr>
    </w:p>
    <w:p w14:paraId="03F1C8CC">
      <w:pPr>
        <w:sectPr>
          <w:pgSz w:w="11906" w:h="16839"/>
          <w:pgMar w:top="849" w:right="595" w:bottom="0" w:left="1260" w:header="0" w:footer="0" w:gutter="0"/>
          <w:cols w:equalWidth="0" w:num="1">
            <w:col w:w="10050"/>
          </w:cols>
        </w:sectPr>
      </w:pPr>
    </w:p>
    <w:p w14:paraId="20764DE6">
      <w:pPr>
        <w:pStyle w:val="2"/>
        <w:spacing w:before="39" w:line="294" w:lineRule="auto"/>
        <w:ind w:left="539" w:right="333" w:firstLine="4"/>
      </w:pPr>
      <w:r>
        <w:rPr>
          <w:b/>
          <w:bCs/>
        </w:rPr>
        <w:t xml:space="preserve">Background: </w:t>
      </w:r>
      <w:r>
        <w:t>CTNNB1 pr</w:t>
      </w:r>
      <w:r>
        <w:rPr>
          <w:spacing w:val="-1"/>
        </w:rPr>
        <w:t>otein is a dual</w:t>
      </w:r>
      <w:r>
        <w:rPr>
          <w:spacing w:val="8"/>
        </w:rPr>
        <w:t xml:space="preserve"> </w:t>
      </w:r>
      <w:r>
        <w:rPr>
          <w:spacing w:val="-1"/>
        </w:rPr>
        <w:t>function</w:t>
      </w:r>
      <w:r>
        <w:t xml:space="preserve"> protein. It is a</w:t>
      </w:r>
      <w:r>
        <w:rPr>
          <w:spacing w:val="8"/>
        </w:rPr>
        <w:t xml:space="preserve"> </w:t>
      </w:r>
      <w:r>
        <w:t>subunit</w:t>
      </w:r>
      <w:r>
        <w:rPr>
          <w:spacing w:val="11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t>a</w:t>
      </w:r>
      <w:r>
        <w:rPr>
          <w:spacing w:val="6"/>
        </w:rPr>
        <w:t xml:space="preserve"> </w:t>
      </w:r>
      <w:r>
        <w:t>complex</w:t>
      </w:r>
      <w:r>
        <w:rPr>
          <w:spacing w:val="12"/>
        </w:rPr>
        <w:t xml:space="preserve"> </w:t>
      </w:r>
      <w:r>
        <w:t>of</w:t>
      </w:r>
      <w:r>
        <w:rPr>
          <w:spacing w:val="-20"/>
        </w:rPr>
        <w:t xml:space="preserve"> </w:t>
      </w:r>
      <w:r>
        <w:rPr>
          <w:spacing w:val="-1"/>
        </w:rPr>
        <w:t>proteins</w:t>
      </w:r>
    </w:p>
    <w:p w14:paraId="5BFB0D70">
      <w:pPr>
        <w:pStyle w:val="2"/>
        <w:spacing w:before="32" w:line="291" w:lineRule="auto"/>
        <w:ind w:left="548" w:right="337" w:hanging="6"/>
      </w:pPr>
      <w:r>
        <w:t>that from adherens</w:t>
      </w:r>
      <w:r>
        <w:rPr>
          <w:spacing w:val="-10"/>
        </w:rPr>
        <w:t xml:space="preserve"> </w:t>
      </w:r>
      <w:r>
        <w:t>junctions, which are important for the establishment and maintenance</w:t>
      </w:r>
      <w:r>
        <w:rPr>
          <w:spacing w:val="10"/>
        </w:rPr>
        <w:t xml:space="preserve"> </w:t>
      </w:r>
      <w:r>
        <w:rPr>
          <w:spacing w:val="-1"/>
        </w:rPr>
        <w:t>of</w:t>
      </w:r>
    </w:p>
    <w:p w14:paraId="3F8B472B">
      <w:pPr>
        <w:pStyle w:val="2"/>
        <w:spacing w:before="39" w:line="193" w:lineRule="auto"/>
        <w:ind w:left="547"/>
      </w:pPr>
      <w:r>
        <w:rPr>
          <w:spacing w:val="-1"/>
        </w:rPr>
        <w:t>epithelial cell layers by regulating</w:t>
      </w:r>
      <w:r>
        <w:rPr>
          <w:spacing w:val="25"/>
        </w:rPr>
        <w:t xml:space="preserve"> </w:t>
      </w:r>
      <w:r>
        <w:rPr>
          <w:spacing w:val="-1"/>
        </w:rPr>
        <w:t>cell</w:t>
      </w:r>
      <w:r>
        <w:rPr>
          <w:spacing w:val="10"/>
        </w:rPr>
        <w:t xml:space="preserve"> </w:t>
      </w:r>
      <w:r>
        <w:rPr>
          <w:spacing w:val="-1"/>
        </w:rPr>
        <w:t>growth</w:t>
      </w:r>
    </w:p>
    <w:p w14:paraId="17EC8DB2">
      <w:pPr>
        <w:pStyle w:val="2"/>
        <w:spacing w:before="116" w:line="304" w:lineRule="auto"/>
        <w:ind w:left="539" w:right="483" w:firstLine="8"/>
      </w:pPr>
      <w:r>
        <w:rPr>
          <w:spacing w:val="-1"/>
        </w:rPr>
        <w:t>and adhesion between</w:t>
      </w:r>
      <w:r>
        <w:rPr>
          <w:spacing w:val="18"/>
          <w:w w:val="101"/>
        </w:rPr>
        <w:t xml:space="preserve"> </w:t>
      </w:r>
      <w:r>
        <w:rPr>
          <w:spacing w:val="-1"/>
        </w:rPr>
        <w:t>adjacent cells.</w:t>
      </w:r>
      <w:r>
        <w:rPr>
          <w:spacing w:val="13"/>
        </w:rPr>
        <w:t xml:space="preserve"> </w:t>
      </w:r>
      <w:r>
        <w:rPr>
          <w:spacing w:val="-1"/>
        </w:rPr>
        <w:t>CTNNB1</w:t>
      </w:r>
      <w:r>
        <w:t xml:space="preserve">  protein also pulls double duty</w:t>
      </w:r>
      <w:r>
        <w:rPr>
          <w:spacing w:val="13"/>
        </w:rPr>
        <w:t xml:space="preserve"> </w:t>
      </w:r>
      <w:r>
        <w:t>as an</w:t>
      </w:r>
      <w:r>
        <w:rPr>
          <w:spacing w:val="-1"/>
        </w:rPr>
        <w:t xml:space="preserve"> intracellular</w:t>
      </w:r>
      <w:r>
        <w:t xml:space="preserve"> signal transducer in the Wnt sign</w:t>
      </w:r>
      <w:r>
        <w:rPr>
          <w:spacing w:val="-1"/>
        </w:rPr>
        <w:t>aling pathway.</w:t>
      </w:r>
      <w:r>
        <w:t xml:space="preserve">  Mutations of CTNNB1 have been implicate</w:t>
      </w:r>
      <w:r>
        <w:rPr>
          <w:spacing w:val="-1"/>
        </w:rPr>
        <w:t>d in</w:t>
      </w:r>
      <w:r>
        <w:t xml:space="preserve">  the pathogenesis of several canc</w:t>
      </w:r>
      <w:r>
        <w:rPr>
          <w:spacing w:val="-1"/>
        </w:rPr>
        <w:t>ers.</w:t>
      </w:r>
    </w:p>
    <w:p w14:paraId="24CAE8FE">
      <w:pPr>
        <w:pStyle w:val="2"/>
        <w:spacing w:before="32" w:line="193" w:lineRule="auto"/>
        <w:ind w:left="544"/>
      </w:pPr>
      <w:r>
        <w:rPr>
          <w:b/>
          <w:bCs/>
          <w:spacing w:val="-1"/>
        </w:rPr>
        <w:t xml:space="preserve">Immunogen: </w:t>
      </w:r>
      <w:r>
        <w:rPr>
          <w:spacing w:val="-1"/>
        </w:rPr>
        <w:t>A synthetic peptide from the</w:t>
      </w:r>
    </w:p>
    <w:p w14:paraId="246F0AD6">
      <w:pPr>
        <w:pStyle w:val="2"/>
        <w:spacing w:before="118" w:line="294" w:lineRule="auto"/>
        <w:ind w:left="541" w:right="571" w:firstLine="4"/>
      </w:pPr>
      <w:r>
        <w:t>internal region of CTNNB1 which inc</w:t>
      </w:r>
      <w:r>
        <w:rPr>
          <w:spacing w:val="-1"/>
        </w:rPr>
        <w:t>ludes the</w:t>
      </w:r>
      <w:r>
        <w:t xml:space="preserve"> </w:t>
      </w:r>
      <w:r>
        <w:rPr>
          <w:spacing w:val="-1"/>
        </w:rPr>
        <w:t>mutation of G34V, human origi</w:t>
      </w:r>
      <w:r>
        <w:rPr>
          <w:spacing w:val="-2"/>
        </w:rPr>
        <w:t>n.</w:t>
      </w:r>
    </w:p>
    <w:p w14:paraId="05611D3F">
      <w:pPr>
        <w:pStyle w:val="2"/>
        <w:spacing w:before="35" w:line="291" w:lineRule="auto"/>
        <w:ind w:left="544" w:right="1186" w:firstLine="3"/>
      </w:pPr>
      <w:r>
        <w:rPr>
          <w:b/>
          <w:bCs/>
          <w:spacing w:val="-1"/>
        </w:rPr>
        <w:t xml:space="preserve">Tested applications: </w:t>
      </w:r>
      <w:r>
        <w:rPr>
          <w:spacing w:val="-1"/>
        </w:rPr>
        <w:t>ELISA, WB, IHC</w:t>
      </w:r>
      <w:r>
        <w:rPr>
          <w:spacing w:val="3"/>
        </w:rPr>
        <w:t xml:space="preserve"> </w:t>
      </w:r>
      <w:r>
        <w:rPr>
          <w:b/>
          <w:bCs/>
          <w:spacing w:val="-1"/>
        </w:rPr>
        <w:t>Recommended dilutions:</w:t>
      </w:r>
    </w:p>
    <w:p w14:paraId="40553527">
      <w:pPr>
        <w:pStyle w:val="2"/>
        <w:spacing w:before="39" w:line="189" w:lineRule="auto"/>
        <w:ind w:left="544"/>
      </w:pPr>
      <w:r>
        <w:rPr>
          <w:spacing w:val="-2"/>
        </w:rPr>
        <w:t>ELISA:</w:t>
      </w:r>
      <w:r>
        <w:rPr>
          <w:spacing w:val="8"/>
        </w:rPr>
        <w:t xml:space="preserve">    </w:t>
      </w:r>
      <w:r>
        <w:rPr>
          <w:spacing w:val="-2"/>
        </w:rPr>
        <w:t>1:1000-1:2000</w:t>
      </w:r>
    </w:p>
    <w:p w14:paraId="24EA4BE1">
      <w:pPr>
        <w:pStyle w:val="2"/>
        <w:spacing w:before="122" w:line="189" w:lineRule="auto"/>
        <w:ind w:left="542"/>
      </w:pPr>
      <w:r>
        <w:rPr>
          <w:spacing w:val="-2"/>
        </w:rPr>
        <w:t>WB:</w:t>
      </w:r>
      <w:r>
        <w:rPr>
          <w:spacing w:val="2"/>
        </w:rPr>
        <w:t xml:space="preserve">          </w:t>
      </w:r>
      <w:r>
        <w:rPr>
          <w:spacing w:val="-2"/>
        </w:rPr>
        <w:t>1:500-1:1000</w:t>
      </w:r>
    </w:p>
    <w:p w14:paraId="71D63EEF">
      <w:pPr>
        <w:pStyle w:val="2"/>
        <w:spacing w:before="122" w:line="189" w:lineRule="auto"/>
        <w:ind w:left="545"/>
      </w:pPr>
      <w:r>
        <w:rPr>
          <w:spacing w:val="-2"/>
        </w:rPr>
        <w:t>IHC:</w:t>
      </w:r>
      <w:r>
        <w:rPr>
          <w:spacing w:val="2"/>
        </w:rPr>
        <w:t xml:space="preserve">          </w:t>
      </w:r>
      <w:r>
        <w:rPr>
          <w:spacing w:val="-2"/>
        </w:rPr>
        <w:t>1:50-1:100</w:t>
      </w:r>
    </w:p>
    <w:p w14:paraId="25B56D8C">
      <w:pPr>
        <w:pStyle w:val="2"/>
        <w:spacing w:before="118" w:line="193" w:lineRule="auto"/>
        <w:ind w:left="548"/>
      </w:pPr>
      <w:r>
        <w:rPr>
          <w:b/>
          <w:bCs/>
          <w:spacing w:val="-1"/>
        </w:rPr>
        <w:t xml:space="preserve">Concentration: </w:t>
      </w:r>
      <w:r>
        <w:rPr>
          <w:spacing w:val="-1"/>
        </w:rPr>
        <w:t>0.5 mg/ml</w:t>
      </w:r>
    </w:p>
    <w:p w14:paraId="3A947ADD">
      <w:pPr>
        <w:pStyle w:val="2"/>
        <w:spacing w:before="125" w:line="186" w:lineRule="auto"/>
        <w:ind w:left="544"/>
      </w:pPr>
      <w:r>
        <w:rPr>
          <w:b/>
          <w:bCs/>
          <w:spacing w:val="-1"/>
        </w:rPr>
        <w:t xml:space="preserve">Host: </w:t>
      </w:r>
      <w:r>
        <w:rPr>
          <w:spacing w:val="-1"/>
        </w:rPr>
        <w:t>Mouse</w:t>
      </w:r>
    </w:p>
    <w:p w14:paraId="3265F6FA">
      <w:pPr>
        <w:pStyle w:val="2"/>
        <w:spacing w:before="118" w:line="193" w:lineRule="auto"/>
        <w:ind w:left="548"/>
      </w:pPr>
      <w:r>
        <w:rPr>
          <w:b/>
          <w:bCs/>
          <w:spacing w:val="-1"/>
        </w:rPr>
        <w:t xml:space="preserve">Clonality: </w:t>
      </w:r>
      <w:r>
        <w:rPr>
          <w:spacing w:val="-1"/>
        </w:rPr>
        <w:t>Monoclonal</w:t>
      </w:r>
    </w:p>
    <w:p w14:paraId="7C089D18">
      <w:pPr>
        <w:pStyle w:val="2"/>
        <w:spacing w:before="118" w:line="193" w:lineRule="auto"/>
        <w:ind w:left="545"/>
      </w:pPr>
      <w:r>
        <w:rPr>
          <w:b/>
          <w:bCs/>
        </w:rPr>
        <w:t xml:space="preserve">Purity: </w:t>
      </w:r>
      <w:r>
        <w:t>Purified fr</w:t>
      </w:r>
      <w:r>
        <w:rPr>
          <w:spacing w:val="-1"/>
        </w:rPr>
        <w:t>om ascites</w:t>
      </w:r>
    </w:p>
    <w:p w14:paraId="28F94DC7">
      <w:pPr>
        <w:pStyle w:val="2"/>
        <w:spacing w:before="117" w:line="296" w:lineRule="auto"/>
        <w:ind w:left="550" w:right="3153" w:hanging="6"/>
      </w:pPr>
      <w:r>
        <w:rPr>
          <w:b/>
          <w:bCs/>
          <w:spacing w:val="-1"/>
        </w:rPr>
        <w:t xml:space="preserve">Format: </w:t>
      </w:r>
      <w:r>
        <w:rPr>
          <w:spacing w:val="-1"/>
        </w:rPr>
        <w:t>Liquid</w:t>
      </w:r>
      <w:r>
        <w:rPr>
          <w:spacing w:val="3"/>
        </w:rPr>
        <w:t xml:space="preserve"> </w:t>
      </w:r>
      <w:r>
        <w:rPr>
          <w:b/>
          <w:bCs/>
          <w:spacing w:val="-1"/>
        </w:rPr>
        <w:t>Storage buffer:</w:t>
      </w:r>
    </w:p>
    <w:p w14:paraId="769A7ECA">
      <w:pPr>
        <w:pStyle w:val="2"/>
        <w:spacing w:before="29" w:line="193" w:lineRule="auto"/>
        <w:ind w:left="543"/>
      </w:pPr>
      <w:r>
        <w:rPr>
          <w:spacing w:val="-1"/>
        </w:rPr>
        <w:t>Preservative: no</w:t>
      </w:r>
    </w:p>
    <w:p w14:paraId="3FD19C99">
      <w:pPr>
        <w:pStyle w:val="2"/>
        <w:spacing w:before="107" w:line="298" w:lineRule="auto"/>
        <w:ind w:left="547" w:right="522"/>
      </w:pPr>
      <w:r>
        <w:t>Constituents: PBS (withou</w:t>
      </w:r>
      <w:r>
        <w:rPr>
          <w:spacing w:val="-1"/>
        </w:rPr>
        <w:t>t Mg</w:t>
      </w:r>
      <w:r>
        <w:rPr>
          <w:spacing w:val="-1"/>
          <w:position w:val="6"/>
          <w:sz w:val="13"/>
          <w:szCs w:val="13"/>
        </w:rPr>
        <w:t xml:space="preserve">2+ 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Ca</w:t>
      </w:r>
      <w:r>
        <w:rPr>
          <w:spacing w:val="-1"/>
          <w:position w:val="6"/>
          <w:sz w:val="13"/>
          <w:szCs w:val="13"/>
        </w:rPr>
        <w:t>2+</w:t>
      </w:r>
      <w:r>
        <w:rPr>
          <w:spacing w:val="-1"/>
        </w:rPr>
        <w:t>), pH</w:t>
      </w:r>
      <w:r>
        <w:t xml:space="preserve"> </w:t>
      </w:r>
      <w:r>
        <w:rPr>
          <w:spacing w:val="-1"/>
        </w:rPr>
        <w:t>7.4,</w:t>
      </w:r>
      <w:r>
        <w:rPr>
          <w:spacing w:val="20"/>
          <w:w w:val="101"/>
        </w:rPr>
        <w:t xml:space="preserve"> </w:t>
      </w:r>
      <w:r>
        <w:rPr>
          <w:spacing w:val="-1"/>
        </w:rPr>
        <w:t>150 mM NaCl, 50% glyce</w:t>
      </w:r>
      <w:r>
        <w:rPr>
          <w:spacing w:val="-2"/>
        </w:rPr>
        <w:t>rol</w:t>
      </w:r>
    </w:p>
    <w:p w14:paraId="5AD13007">
      <w:pPr>
        <w:pStyle w:val="2"/>
        <w:spacing w:before="35" w:line="294" w:lineRule="auto"/>
        <w:ind w:left="539" w:right="568" w:firstLine="11"/>
      </w:pPr>
      <w:r>
        <w:rPr>
          <w:b/>
          <w:bCs/>
        </w:rPr>
        <w:t xml:space="preserve">Species Reactivity: </w:t>
      </w:r>
      <w:r>
        <w:t>Recogn</w:t>
      </w:r>
      <w:r>
        <w:rPr>
          <w:spacing w:val="-1"/>
        </w:rPr>
        <w:t>izes G34V mutant,</w:t>
      </w:r>
      <w:r>
        <w:t xml:space="preserve"> but</w:t>
      </w:r>
      <w:r>
        <w:rPr>
          <w:spacing w:val="1"/>
        </w:rPr>
        <w:t xml:space="preserve"> </w:t>
      </w:r>
      <w:r>
        <w:t>not</w:t>
      </w:r>
      <w:r>
        <w:rPr>
          <w:spacing w:val="1"/>
        </w:rPr>
        <w:t xml:space="preserve"> </w:t>
      </w:r>
      <w:r>
        <w:t>wild</w:t>
      </w:r>
      <w:r>
        <w:rPr>
          <w:spacing w:val="1"/>
        </w:rPr>
        <w:t>-</w:t>
      </w:r>
      <w:r>
        <w:t>type</w:t>
      </w:r>
      <w:r>
        <w:rPr>
          <w:spacing w:val="1"/>
        </w:rPr>
        <w:t xml:space="preserve"> </w:t>
      </w:r>
      <w:r>
        <w:t>CTNNB</w:t>
      </w:r>
      <w:r>
        <w:rPr>
          <w:spacing w:val="1"/>
        </w:rPr>
        <w:t xml:space="preserve">1 </w:t>
      </w:r>
      <w:r>
        <w:t>of</w:t>
      </w:r>
      <w:r>
        <w:rPr>
          <w:spacing w:val="-11"/>
        </w:rPr>
        <w:t xml:space="preserve"> </w:t>
      </w:r>
      <w:r>
        <w:t>vertebrates</w:t>
      </w:r>
      <w:r>
        <w:rPr>
          <w:spacing w:val="1"/>
        </w:rPr>
        <w:t>.</w:t>
      </w:r>
    </w:p>
    <w:p w14:paraId="722C2330">
      <w:pPr>
        <w:pStyle w:val="2"/>
        <w:spacing w:before="33" w:line="294" w:lineRule="auto"/>
        <w:ind w:left="548" w:right="870" w:firstLine="2"/>
      </w:pPr>
      <w:r>
        <w:rPr>
          <w:b/>
          <w:bCs/>
          <w:spacing w:val="-1"/>
        </w:rPr>
        <w:t>Storage Conditions:</w:t>
      </w:r>
      <w:r>
        <w:rPr>
          <w:b/>
          <w:bCs/>
          <w:spacing w:val="20"/>
        </w:rPr>
        <w:t xml:space="preserve"> </w:t>
      </w:r>
      <w:r>
        <w:rPr>
          <w:spacing w:val="-1"/>
        </w:rPr>
        <w:t>Store at -20°C.</w:t>
      </w:r>
      <w:r>
        <w:rPr>
          <w:spacing w:val="-13"/>
        </w:rPr>
        <w:t xml:space="preserve"> </w:t>
      </w:r>
      <w:r>
        <w:rPr>
          <w:spacing w:val="-2"/>
        </w:rPr>
        <w:t>Avoid</w:t>
      </w:r>
      <w:r>
        <w:t xml:space="preserve"> </w:t>
      </w:r>
      <w:r>
        <w:rPr>
          <w:spacing w:val="-1"/>
        </w:rPr>
        <w:t>freeze / thaw cycles.</w:t>
      </w:r>
    </w:p>
    <w:p w14:paraId="08D51B81">
      <w:pPr>
        <w:spacing w:line="32" w:lineRule="exact"/>
      </w:pPr>
    </w:p>
    <w:p w14:paraId="32926806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156E5BFD">
      <w:pPr>
        <w:pStyle w:val="2"/>
        <w:spacing w:before="44" w:line="186" w:lineRule="auto"/>
      </w:pPr>
      <w:r>
        <w:rPr>
          <w:b/>
          <w:bCs/>
          <w:spacing w:val="-2"/>
        </w:rPr>
        <w:t>Western blot:</w:t>
      </w:r>
    </w:p>
    <w:p w14:paraId="472B45C0">
      <w:pPr>
        <w:spacing w:before="236" w:line="3596" w:lineRule="exact"/>
        <w:ind w:firstLine="675"/>
      </w:pPr>
      <w:r>
        <w:rPr>
          <w:position w:val="-71"/>
        </w:rPr>
        <w:drawing>
          <wp:inline distT="0" distB="0" distL="0" distR="0">
            <wp:extent cx="1895475" cy="2283460"/>
            <wp:effectExtent l="0" t="0" r="0" b="0"/>
            <wp:docPr id="8" name="IM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 8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895581" cy="22835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C23C06">
      <w:pPr>
        <w:spacing w:line="284" w:lineRule="auto"/>
        <w:rPr>
          <w:rFonts w:ascii="Arial"/>
          <w:sz w:val="21"/>
        </w:rPr>
      </w:pPr>
    </w:p>
    <w:p w14:paraId="458F71A0">
      <w:pPr>
        <w:pStyle w:val="2"/>
        <w:spacing w:before="61" w:line="189" w:lineRule="auto"/>
      </w:pPr>
      <w:r>
        <w:rPr>
          <w:b/>
          <w:bCs/>
          <w:spacing w:val="-1"/>
        </w:rPr>
        <w:t>Western blot analysis of recombinant</w:t>
      </w:r>
    </w:p>
    <w:p w14:paraId="233B0B87">
      <w:pPr>
        <w:pStyle w:val="2"/>
        <w:spacing w:before="121" w:line="189" w:lineRule="auto"/>
        <w:ind w:left="6"/>
      </w:pPr>
      <w:r>
        <w:rPr>
          <w:b/>
          <w:bCs/>
        </w:rPr>
        <w:t>CTNNB1 (G34V) and wi</w:t>
      </w:r>
      <w:r>
        <w:rPr>
          <w:b/>
          <w:bCs/>
          <w:spacing w:val="-1"/>
        </w:rPr>
        <w:t>ldtype proteins.</w:t>
      </w:r>
    </w:p>
    <w:p w14:paraId="50C3D360">
      <w:pPr>
        <w:pStyle w:val="2"/>
        <w:spacing w:before="118" w:line="193" w:lineRule="auto"/>
        <w:ind w:left="1"/>
      </w:pPr>
      <w:r>
        <w:rPr>
          <w:spacing w:val="-1"/>
        </w:rPr>
        <w:t>Purified His-tagged CTNNB1</w:t>
      </w:r>
      <w:r>
        <w:rPr>
          <w:spacing w:val="31"/>
          <w:w w:val="101"/>
        </w:rPr>
        <w:t xml:space="preserve"> </w:t>
      </w:r>
      <w:r>
        <w:rPr>
          <w:spacing w:val="-1"/>
        </w:rPr>
        <w:t>(G34V) protein</w:t>
      </w:r>
    </w:p>
    <w:p w14:paraId="33EBD11C">
      <w:pPr>
        <w:pStyle w:val="2"/>
        <w:spacing w:before="118" w:line="193" w:lineRule="auto"/>
        <w:ind w:left="6"/>
      </w:pPr>
      <w:r>
        <w:t>(lane2) and corresponding wild</w:t>
      </w:r>
      <w:r>
        <w:rPr>
          <w:spacing w:val="-1"/>
        </w:rPr>
        <w:t>-type protein</w:t>
      </w:r>
    </w:p>
    <w:p w14:paraId="07E0DF2C">
      <w:pPr>
        <w:pStyle w:val="2"/>
        <w:spacing w:before="119" w:line="294" w:lineRule="auto"/>
        <w:ind w:right="814" w:firstLine="6"/>
      </w:pPr>
      <w:r>
        <w:rPr>
          <w:spacing w:val="-1"/>
        </w:rPr>
        <w:t>(lane1) were blotted with</w:t>
      </w:r>
      <w:r>
        <w:rPr>
          <w:spacing w:val="30"/>
        </w:rPr>
        <w:t xml:space="preserve"> </w:t>
      </w:r>
      <w:r>
        <w:rPr>
          <w:spacing w:val="-1"/>
        </w:rPr>
        <w:t>anti-CTNNB1 (G34V)</w:t>
      </w:r>
      <w:r>
        <w:t xml:space="preserve"> monoclonal antibody (Cat. #26299).</w:t>
      </w:r>
    </w:p>
    <w:p w14:paraId="03F0287B">
      <w:pPr>
        <w:spacing w:line="294" w:lineRule="auto"/>
        <w:sectPr>
          <w:type w:val="continuous"/>
          <w:pgSz w:w="11906" w:h="16839"/>
          <w:pgMar w:top="849" w:right="595" w:bottom="0" w:left="1260" w:header="0" w:footer="0" w:gutter="0"/>
          <w:cols w:equalWidth="0" w:num="2">
            <w:col w:w="5065" w:space="100"/>
            <w:col w:w="4886"/>
          </w:cols>
        </w:sectPr>
      </w:pPr>
    </w:p>
    <w:p w14:paraId="6F241E03">
      <w:pPr>
        <w:spacing w:line="333" w:lineRule="auto"/>
        <w:rPr>
          <w:rFonts w:ascii="Arial"/>
          <w:sz w:val="21"/>
        </w:rPr>
      </w:pPr>
    </w:p>
    <w:p w14:paraId="7E1B608F">
      <w:pPr>
        <w:spacing w:line="333" w:lineRule="auto"/>
        <w:rPr>
          <w:rFonts w:ascii="Arial"/>
          <w:sz w:val="21"/>
        </w:rPr>
      </w:pPr>
    </w:p>
    <w:p w14:paraId="7D9714FB">
      <w:pPr>
        <w:spacing w:before="1" w:line="61" w:lineRule="exact"/>
      </w:pPr>
      <w:r>
        <w:rPr>
          <w:position w:val="-1"/>
        </w:rPr>
        <w:drawing>
          <wp:inline distT="0" distB="0" distL="0" distR="0">
            <wp:extent cx="6381750" cy="38100"/>
            <wp:effectExtent l="0" t="0" r="0" b="0"/>
            <wp:docPr id="10" name="I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 10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381750" cy="38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46F19A">
      <w:pPr>
        <w:spacing w:before="192" w:line="207" w:lineRule="auto"/>
        <w:ind w:left="2074"/>
        <w:rPr>
          <w:rFonts w:ascii="Arial" w:hAnsi="Arial" w:eastAsia="Arial" w:cs="Arial"/>
          <w:sz w:val="17"/>
          <w:szCs w:val="17"/>
        </w:rPr>
      </w:pPr>
      <w:r>
        <w:rPr>
          <w:rFonts w:ascii="Arial" w:hAnsi="Arial" w:eastAsia="Arial" w:cs="Arial"/>
          <w:b/>
          <w:bCs/>
          <w:spacing w:val="4"/>
          <w:sz w:val="17"/>
          <w:szCs w:val="17"/>
        </w:rPr>
        <w:t>For research</w:t>
      </w:r>
      <w:r>
        <w:rPr>
          <w:rFonts w:ascii="Arial" w:hAnsi="Arial" w:eastAsia="Arial" w:cs="Arial"/>
          <w:b/>
          <w:bCs/>
          <w:spacing w:val="20"/>
          <w:sz w:val="17"/>
          <w:szCs w:val="17"/>
        </w:rPr>
        <w:t xml:space="preserve"> </w:t>
      </w:r>
      <w:r>
        <w:rPr>
          <w:rFonts w:ascii="Arial" w:hAnsi="Arial" w:eastAsia="Arial" w:cs="Arial"/>
          <w:b/>
          <w:bCs/>
          <w:spacing w:val="4"/>
          <w:sz w:val="17"/>
          <w:szCs w:val="17"/>
        </w:rPr>
        <w:t>use only. Not for diagnostic</w:t>
      </w:r>
      <w:r>
        <w:rPr>
          <w:rFonts w:ascii="Arial" w:hAnsi="Arial" w:eastAsia="Arial" w:cs="Arial"/>
          <w:b/>
          <w:bCs/>
          <w:spacing w:val="14"/>
          <w:w w:val="101"/>
          <w:sz w:val="17"/>
          <w:szCs w:val="17"/>
        </w:rPr>
        <w:t xml:space="preserve"> </w:t>
      </w:r>
      <w:r>
        <w:rPr>
          <w:rFonts w:ascii="Arial" w:hAnsi="Arial" w:eastAsia="Arial" w:cs="Arial"/>
          <w:b/>
          <w:bCs/>
          <w:spacing w:val="4"/>
          <w:sz w:val="17"/>
          <w:szCs w:val="17"/>
        </w:rPr>
        <w:t>or therap</w:t>
      </w:r>
      <w:r>
        <w:rPr>
          <w:rFonts w:ascii="Arial" w:hAnsi="Arial" w:eastAsia="Arial" w:cs="Arial"/>
          <w:b/>
          <w:bCs/>
          <w:spacing w:val="3"/>
          <w:sz w:val="17"/>
          <w:szCs w:val="17"/>
        </w:rPr>
        <w:t>eutic</w:t>
      </w:r>
      <w:r>
        <w:rPr>
          <w:rFonts w:ascii="Arial" w:hAnsi="Arial" w:eastAsia="Arial" w:cs="Arial"/>
          <w:b/>
          <w:bCs/>
          <w:spacing w:val="14"/>
          <w:sz w:val="17"/>
          <w:szCs w:val="17"/>
        </w:rPr>
        <w:t xml:space="preserve"> </w:t>
      </w:r>
      <w:r>
        <w:rPr>
          <w:rFonts w:ascii="Arial" w:hAnsi="Arial" w:eastAsia="Arial" w:cs="Arial"/>
          <w:b/>
          <w:bCs/>
          <w:spacing w:val="3"/>
          <w:sz w:val="17"/>
          <w:szCs w:val="17"/>
        </w:rPr>
        <w:t>applications.</w:t>
      </w:r>
    </w:p>
    <w:p w14:paraId="299BAD2A">
      <w:pPr>
        <w:spacing w:line="150" w:lineRule="exact"/>
      </w:pPr>
    </w:p>
    <w:p w14:paraId="7C41156E">
      <w:pPr>
        <w:spacing w:line="150" w:lineRule="exact"/>
        <w:sectPr>
          <w:type w:val="continuous"/>
          <w:pgSz w:w="11906" w:h="16839"/>
          <w:pgMar w:top="849" w:right="595" w:bottom="0" w:left="1260" w:header="0" w:footer="0" w:gutter="0"/>
          <w:cols w:equalWidth="0" w:num="1">
            <w:col w:w="10050"/>
          </w:cols>
        </w:sectPr>
      </w:pPr>
    </w:p>
    <w:p w14:paraId="44794F6B">
      <w:pPr>
        <w:pStyle w:val="2"/>
        <w:spacing w:before="48" w:line="252" w:lineRule="auto"/>
        <w:ind w:left="225" w:right="1498" w:hanging="225"/>
      </w:pPr>
    </w:p>
    <w:p w14:paraId="20FBC790">
      <w:pPr>
        <w:spacing w:line="252" w:lineRule="auto"/>
        <w:sectPr>
          <w:type w:val="continuous"/>
          <w:pgSz w:w="11906" w:h="16839"/>
          <w:pgMar w:top="849" w:right="595" w:bottom="0" w:left="1260" w:header="0" w:footer="0" w:gutter="0"/>
          <w:cols w:equalWidth="0" w:num="2">
            <w:col w:w="5007" w:space="100"/>
            <w:col w:w="4944"/>
          </w:cols>
        </w:sectPr>
      </w:pPr>
    </w:p>
    <w:p w14:paraId="275A61E1">
      <w:pPr>
        <w:spacing w:line="1305" w:lineRule="exact"/>
        <w:ind w:firstLine="540"/>
      </w:pPr>
    </w:p>
    <w:p w14:paraId="787612DF">
      <w:pPr>
        <w:spacing w:before="190" w:line="61" w:lineRule="exact"/>
      </w:pPr>
      <w:r>
        <w:rPr>
          <w:position w:val="-1"/>
        </w:rPr>
        <w:drawing>
          <wp:inline distT="0" distB="0" distL="0" distR="0">
            <wp:extent cx="6381750" cy="38100"/>
            <wp:effectExtent l="0" t="0" r="0" b="0"/>
            <wp:docPr id="14" name="IM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 14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81750" cy="38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7C8887">
      <w:pPr>
        <w:pStyle w:val="2"/>
        <w:spacing w:before="170" w:line="189" w:lineRule="auto"/>
        <w:ind w:left="544"/>
      </w:pPr>
      <w:r>
        <w:rPr>
          <w:b/>
          <w:bCs/>
          <w:spacing w:val="-1"/>
        </w:rPr>
        <w:t>Immunofluorescence:</w:t>
      </w:r>
    </w:p>
    <w:p w14:paraId="13AC0810">
      <w:pPr>
        <w:spacing w:line="266" w:lineRule="auto"/>
        <w:rPr>
          <w:rFonts w:ascii="Arial"/>
          <w:sz w:val="21"/>
        </w:rPr>
      </w:pPr>
    </w:p>
    <w:p w14:paraId="4A7CB1AB">
      <w:pPr>
        <w:spacing w:line="5546" w:lineRule="exact"/>
        <w:ind w:firstLine="639"/>
      </w:pPr>
      <w:r>
        <w:rPr>
          <w:position w:val="-110"/>
        </w:rPr>
        <w:drawing>
          <wp:inline distT="0" distB="0" distL="0" distR="0">
            <wp:extent cx="5057140" cy="3521710"/>
            <wp:effectExtent l="0" t="0" r="0" b="0"/>
            <wp:docPr id="16" name="IM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 16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057211" cy="35217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F20C4F">
      <w:pPr>
        <w:pStyle w:val="2"/>
        <w:spacing w:before="236" w:line="189" w:lineRule="auto"/>
        <w:ind w:left="544"/>
      </w:pPr>
      <w:r>
        <w:rPr>
          <w:b/>
          <w:bCs/>
        </w:rPr>
        <w:t>Immunofluorescence of cells expressing CTNNB1 proteins with anti-C</w:t>
      </w:r>
      <w:r>
        <w:rPr>
          <w:b/>
          <w:bCs/>
          <w:spacing w:val="-1"/>
        </w:rPr>
        <w:t>TNNB1 (G34V) antibody.</w:t>
      </w:r>
    </w:p>
    <w:p w14:paraId="075720CC">
      <w:pPr>
        <w:pStyle w:val="2"/>
        <w:spacing w:before="118" w:line="193" w:lineRule="auto"/>
        <w:ind w:left="543"/>
      </w:pPr>
      <w:r>
        <w:t>HEK293T cells were transfected with pCDNA3-GFP-CTNNB1 (G34V) p</w:t>
      </w:r>
      <w:r>
        <w:rPr>
          <w:spacing w:val="-1"/>
        </w:rPr>
        <w:t>lasmid,</w:t>
      </w:r>
    </w:p>
    <w:p w14:paraId="5EF70346">
      <w:pPr>
        <w:pStyle w:val="2"/>
        <w:spacing w:before="118" w:line="294" w:lineRule="auto"/>
        <w:ind w:left="541" w:right="2170" w:hanging="2"/>
      </w:pPr>
      <w:r>
        <w:t>pCDNA3-GFP-CTNNB1 (WT) plasmid or pCDNA3-GFP-CTNNB1 (G34E) pl</w:t>
      </w:r>
      <w:r>
        <w:rPr>
          <w:spacing w:val="-1"/>
        </w:rPr>
        <w:t>asmid,</w:t>
      </w:r>
      <w:r>
        <w:t xml:space="preserve">  then fixed and stained with anti-CTNNB1</w:t>
      </w:r>
      <w:r>
        <w:rPr>
          <w:spacing w:val="9"/>
        </w:rPr>
        <w:t xml:space="preserve"> </w:t>
      </w:r>
      <w:r>
        <w:t xml:space="preserve">(G34V) </w:t>
      </w:r>
      <w:r>
        <w:rPr>
          <w:spacing w:val="-1"/>
        </w:rPr>
        <w:t>monoclonal</w:t>
      </w:r>
      <w:r>
        <w:rPr>
          <w:spacing w:val="7"/>
        </w:rPr>
        <w:t xml:space="preserve"> </w:t>
      </w:r>
      <w:r>
        <w:rPr>
          <w:spacing w:val="-1"/>
        </w:rPr>
        <w:t>antibody</w:t>
      </w:r>
      <w:r>
        <w:rPr>
          <w:spacing w:val="9"/>
        </w:rPr>
        <w:t xml:space="preserve"> </w:t>
      </w:r>
      <w:r>
        <w:rPr>
          <w:spacing w:val="-1"/>
        </w:rPr>
        <w:t>(Cat.</w:t>
      </w:r>
      <w:r>
        <w:rPr>
          <w:spacing w:val="5"/>
        </w:rPr>
        <w:t xml:space="preserve"> </w:t>
      </w:r>
      <w:r>
        <w:rPr>
          <w:spacing w:val="-1"/>
        </w:rPr>
        <w:t>#26299).</w:t>
      </w:r>
    </w:p>
    <w:p w14:paraId="642AC7D7">
      <w:pPr>
        <w:spacing w:line="248" w:lineRule="auto"/>
        <w:rPr>
          <w:rFonts w:ascii="Arial"/>
          <w:sz w:val="21"/>
        </w:rPr>
      </w:pPr>
    </w:p>
    <w:p w14:paraId="354D875E">
      <w:pPr>
        <w:spacing w:line="248" w:lineRule="auto"/>
        <w:rPr>
          <w:rFonts w:ascii="Arial"/>
          <w:sz w:val="21"/>
        </w:rPr>
      </w:pPr>
    </w:p>
    <w:p w14:paraId="05F658C8">
      <w:pPr>
        <w:spacing w:line="248" w:lineRule="auto"/>
        <w:rPr>
          <w:rFonts w:ascii="Arial"/>
          <w:sz w:val="21"/>
        </w:rPr>
      </w:pPr>
    </w:p>
    <w:p w14:paraId="4F6AB514">
      <w:pPr>
        <w:spacing w:line="248" w:lineRule="auto"/>
        <w:rPr>
          <w:rFonts w:ascii="Arial"/>
          <w:sz w:val="21"/>
        </w:rPr>
      </w:pPr>
    </w:p>
    <w:p w14:paraId="29937C23">
      <w:pPr>
        <w:spacing w:line="248" w:lineRule="auto"/>
        <w:rPr>
          <w:rFonts w:ascii="Arial"/>
          <w:sz w:val="21"/>
        </w:rPr>
      </w:pPr>
    </w:p>
    <w:p w14:paraId="1D58519A">
      <w:pPr>
        <w:spacing w:line="248" w:lineRule="auto"/>
        <w:rPr>
          <w:rFonts w:ascii="Arial"/>
          <w:sz w:val="21"/>
        </w:rPr>
      </w:pPr>
    </w:p>
    <w:p w14:paraId="6FCCC13E">
      <w:pPr>
        <w:spacing w:line="248" w:lineRule="auto"/>
        <w:rPr>
          <w:rFonts w:ascii="Arial"/>
          <w:sz w:val="21"/>
        </w:rPr>
      </w:pPr>
    </w:p>
    <w:p w14:paraId="6DBDA350">
      <w:pPr>
        <w:spacing w:line="248" w:lineRule="auto"/>
        <w:rPr>
          <w:rFonts w:ascii="Arial"/>
          <w:sz w:val="21"/>
        </w:rPr>
      </w:pPr>
    </w:p>
    <w:p w14:paraId="2DA9FC83">
      <w:pP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</w:pP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科博瑞（武汉）生物科技有限公司</w:t>
      </w:r>
    </w:p>
    <w:p w14:paraId="280802E6">
      <w:pP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</w:pP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TEL：027-87615885  15972062685</w:t>
      </w:r>
    </w:p>
    <w:p w14:paraId="41456E60">
      <w:pPr>
        <w:numPr>
          <w:ilvl w:val="0"/>
          <w:numId w:val="1"/>
        </w:numP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</w:pP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mail：</w:t>
      </w: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fldChar w:fldCharType="begin"/>
      </w: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instrText xml:space="preserve"> HYPERLINK "mailto:3636901710@qq.com" </w:instrText>
      </w: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fldChar w:fldCharType="separate"/>
      </w:r>
      <w:r>
        <w:rPr>
          <w:rStyle w:val="7"/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3636901710@qq.com</w:t>
      </w: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fldChar w:fldCharType="end"/>
      </w:r>
    </w:p>
    <w:p w14:paraId="61923241">
      <w:pPr>
        <w:numPr>
          <w:ilvl w:val="0"/>
          <w:numId w:val="0"/>
        </w:numP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</w:pP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Web:www.coburybio.com</w:t>
      </w:r>
    </w:p>
    <w:p w14:paraId="34263A3C">
      <w:pPr>
        <w:spacing w:line="248" w:lineRule="auto"/>
        <w:rPr>
          <w:rFonts w:ascii="Arial"/>
          <w:sz w:val="21"/>
        </w:rPr>
      </w:pPr>
      <w:bookmarkStart w:id="0" w:name="_GoBack"/>
      <w:bookmarkEnd w:id="0"/>
    </w:p>
    <w:p w14:paraId="571FFF81">
      <w:pPr>
        <w:spacing w:line="248" w:lineRule="auto"/>
        <w:rPr>
          <w:rFonts w:ascii="Arial"/>
          <w:sz w:val="21"/>
        </w:rPr>
      </w:pPr>
    </w:p>
    <w:p w14:paraId="071CF7A1">
      <w:pPr>
        <w:spacing w:line="248" w:lineRule="auto"/>
        <w:rPr>
          <w:rFonts w:ascii="Arial"/>
          <w:sz w:val="21"/>
        </w:rPr>
      </w:pPr>
    </w:p>
    <w:p w14:paraId="431101D0">
      <w:pPr>
        <w:spacing w:line="249" w:lineRule="auto"/>
        <w:rPr>
          <w:rFonts w:ascii="Arial"/>
          <w:sz w:val="21"/>
        </w:rPr>
      </w:pPr>
    </w:p>
    <w:p w14:paraId="66AE36B3">
      <w:pPr>
        <w:spacing w:before="1" w:line="61" w:lineRule="exact"/>
      </w:pPr>
      <w:r>
        <w:rPr>
          <w:position w:val="-1"/>
        </w:rPr>
        <w:drawing>
          <wp:inline distT="0" distB="0" distL="0" distR="0">
            <wp:extent cx="6381750" cy="38735"/>
            <wp:effectExtent l="0" t="0" r="0" b="0"/>
            <wp:docPr id="18" name="IM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 18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381750" cy="38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footerReference r:id="rId5" w:type="default"/>
      <w:pgSz w:w="11906" w:h="16839"/>
      <w:pgMar w:top="849" w:right="595" w:bottom="2059" w:left="1260" w:header="0" w:footer="1234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E5DDF3">
    <w:pPr>
      <w:pStyle w:val="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47BAFCB"/>
    <w:multiLevelType w:val="singleLevel"/>
    <w:tmpl w:val="A47BAFCB"/>
    <w:lvl w:ilvl="0" w:tentative="0">
      <w:start w:val="5"/>
      <w:numFmt w:val="upperLetter"/>
      <w:suff w:val="nothing"/>
      <w:lvlText w:val="%1-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17E0245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Times New Roman" w:hAnsi="Times New Roman" w:eastAsia="Times New Roman" w:cs="Times New Roman"/>
      <w:sz w:val="21"/>
      <w:szCs w:val="21"/>
      <w:lang w:val="en-US" w:eastAsia="en-US" w:bidi="ar-SA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7">
    <w:name w:val="Hyperlink"/>
    <w:basedOn w:val="6"/>
    <w:uiPriority w:val="0"/>
    <w:rPr>
      <w:color w:val="0000FF"/>
      <w:u w:val="single"/>
    </w:rPr>
  </w:style>
  <w:style w:type="table" w:customStyle="1" w:styleId="8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numbering" Target="numbering.xml"/><Relationship Id="rId13" Type="http://schemas.openxmlformats.org/officeDocument/2006/relationships/image" Target="media/image7.png"/><Relationship Id="rId12" Type="http://schemas.openxmlformats.org/officeDocument/2006/relationships/image" Target="media/image6.png"/><Relationship Id="rId11" Type="http://schemas.openxmlformats.org/officeDocument/2006/relationships/image" Target="media/image5.png"/><Relationship Id="rId10" Type="http://schemas.openxmlformats.org/officeDocument/2006/relationships/image" Target="media/image4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264</Words>
  <Characters>1716</Characters>
  <TotalTime>1</TotalTime>
  <ScaleCrop>false</ScaleCrop>
  <LinksUpToDate>false</LinksUpToDate>
  <CharactersWithSpaces>1971</CharactersWithSpaces>
  <Application>WPS Office_12.1.0.21541_F1E327BC-269C-435d-A152-05C5408002CA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2016-07-25T17:08:00Z</dcterms:created>
  <dc:creator>Limin Wang</dc:creator>
  <cp:lastModifiedBy>周亿福</cp:lastModifiedBy>
  <dcterms:modified xsi:type="dcterms:W3CDTF">2025-08-14T07:29:28Z</dcterms:modified>
  <dc:title>Akt1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2025-08-14T11:00:38Z</vt:filetime>
  </property>
  <property fmtid="{D5CDD505-2E9C-101B-9397-08002B2CF9AE}" pid="4" name="KSOTemplateDocerSaveRecord">
    <vt:lpwstr>eyJoZGlkIjoiZjc1NzRjMTZhODVjOTM0MjFhODkzYzEwNjNiNjY4OTEiLCJ1c2VySWQiOiI2NjU1NzU2NjgifQ==</vt:lpwstr>
  </property>
  <property fmtid="{D5CDD505-2E9C-101B-9397-08002B2CF9AE}" pid="5" name="KSOProductBuildVer">
    <vt:lpwstr>2052-12.1.0.21541</vt:lpwstr>
  </property>
  <property fmtid="{D5CDD505-2E9C-101B-9397-08002B2CF9AE}" pid="6" name="ICV">
    <vt:lpwstr>182BFDE302074416B7CA0016E9471B9A_12</vt:lpwstr>
  </property>
</Properties>
</file>